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26-233</w:t>
      </w:r>
    </w:p>
    <w:p>
      <w:pPr>
        <w:spacing w:before="0" w:after="0" w:line="480"/>
        <w:ind w:left="120"/>
        <w:jc w:val="left"/>
      </w:pPr>
    </w:p>
    <w:p>
      <w:pPr>
        <w:spacing w:before="0" w:after="0" w:line="480"/>
        <w:ind w:left="120"/>
        <w:jc w:val="center"/>
      </w:pPr>
      <w:r>
        <w:rPr>
          <w:rFonts w:ascii="Times New Roman" w:hAnsi="Times New Roman"/>
          <w:b/>
          <w:i w:val="false"/>
          <w:color w:val="000000"/>
          <w:sz w:val="28"/>
        </w:rPr>
        <w:t>EMPLOYMENT APPEAL BOARD[486]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486—Chapter 15</w:t>
      </w:r>
    </w:p>
    <w:p>
      <w:pPr>
        <w:spacing w:before="0" w:after="0" w:line="480"/>
        <w:ind w:left="120"/>
        <w:jc w:val="center"/>
      </w:pPr>
      <w:r>
        <w:rPr>
          <w:rFonts w:ascii="Times New Roman" w:hAnsi="Times New Roman"/>
          <w:b w:val="false"/>
          <w:i w:val="false"/>
          <w:color w:val="000000"/>
          <w:sz w:val="24"/>
        </w:rPr>
        <w:t>“Internal Conduct of Employee Organizations”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20.6(5)</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2385, and Iowa Code chapter 20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24,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w:t>
            </w:r>
            <w:r>
              <w:br/>
            </w:r>
            <w:hyperlink r:id="rId4">
              <w:r>
                <w:rPr>
                  <w:rStyle w:val="Hyperlink"/>
                  <w:rFonts w:ascii="Times New Roman" w:hAnsi="Times New Roman"/>
                  <w:b w:val="false"/>
                  <w:i w:val="false"/>
                  <w:color w:val="0000ff"/>
                  <w:sz w:val="14"/>
                </w:rPr>
                <w:t>meet.google.com/hxy-euaj-uzq</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Employment Appeal Board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Christine Louis</w:t>
            </w:r>
            <w:r>
              <w:br/>
            </w:r>
            <w:r>
              <w:rPr>
                <w:rFonts w:ascii="Times New Roman" w:hAnsi="Times New Roman"/>
                <w:b w:val="false"/>
                <w:i w:val="false"/>
                <w:color w:val="000000"/>
                <w:sz w:val="14"/>
              </w:rPr>
              <w:t>Employment Appeal Board</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eab.elections@eab.iowa.gov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includes revisions to administrative rules based on the requirements of Executive Order 10 and statutory changes based on 2024 Iowa Acts, Senate File 2385. This proposed rulemaking provides procedural rules that govern the internal conduct of employee organizations involved in public collective bargaining.</w:t>
      </w:r>
    </w:p>
    <w:p>
      <w:pPr>
        <w:spacing w:before="0" w:after="0" w:line="480"/>
        <w:ind w:left="120"/>
        <w:jc w:val="both"/>
      </w:pPr>
      <w:r>
        <w:rPr>
          <w:rFonts w:ascii="Times New Roman" w:hAnsi="Times New Roman"/>
          <w:b w:val="false"/>
          <w:i w:val="false"/>
          <w:color w:val="000000"/>
          <w:sz w:val="24"/>
        </w:rPr>
        <w:t>    This chapter is being moved from the legacy Public Employee Relations Board agency number [621] to a new chapter within the Employment Appeal Board agency number [486]. These rules were previously located in 621—Chapter 8.</w:t>
      </w:r>
    </w:p>
    <w:p>
      <w:pPr>
        <w:spacing w:before="0" w:after="0" w:line="480"/>
        <w:ind w:left="120"/>
        <w:jc w:val="both"/>
      </w:pPr>
      <w:r>
        <w:rPr>
          <w:rFonts w:ascii="Times New Roman" w:hAnsi="Times New Roman"/>
          <w:b w:val="false"/>
          <w:i w:val="false"/>
          <w:color w:val="000000"/>
          <w:sz w:val="24"/>
        </w:rPr>
        <w:t>    The rules under legacy agency number [621] are proposed to be rescinded and reserved herein (</w:t>
      </w:r>
      <w:r>
        <w:rPr>
          <w:rFonts w:ascii="Times New Roman" w:hAnsi="Times New Roman"/>
          <w:b/>
          <w:i w:val="false"/>
          <w:color w:val="000000"/>
          <w:sz w:val="24"/>
        </w:rPr>
        <w:t>RA 26-246</w:t>
      </w:r>
      <w:r>
        <w:rPr>
          <w:rFonts w:ascii="Times New Roman" w:hAnsi="Times New Roman"/>
          <w:b w:val="false"/>
          <w:i w:val="false"/>
          <w:color w:val="000000"/>
          <w:sz w:val="24"/>
        </w:rPr>
        <w:t>, IAB 8/19/26).</w:t>
      </w:r>
    </w:p>
    <w:p>
      <w:pPr>
        <w:spacing w:before="0" w:after="0" w:line="480"/>
        <w:ind w:left="120"/>
        <w:jc w:val="both"/>
      </w:pPr>
      <w:r>
        <w:rPr>
          <w:rFonts w:ascii="Times New Roman" w:hAnsi="Times New Roman"/>
          <w:b w:val="false"/>
          <w:i w:val="false"/>
          <w:color w:val="000000"/>
          <w:sz w:val="24"/>
        </w:rPr>
        <w:t xml:space="preserve">    All references to 486—Chapter 18 are to those as published herein as </w:t>
      </w:r>
      <w:r>
        <w:rPr>
          <w:rFonts w:ascii="Times New Roman" w:hAnsi="Times New Roman"/>
          <w:b/>
          <w:i w:val="false"/>
          <w:color w:val="000000"/>
          <w:sz w:val="24"/>
        </w:rPr>
        <w:t>RA 26-236</w:t>
      </w:r>
      <w:r>
        <w:rPr>
          <w:rFonts w:ascii="Times New Roman" w:hAnsi="Times New Roman"/>
          <w:b w:val="false"/>
          <w:i w:val="false"/>
          <w:color w:val="000000"/>
          <w:sz w:val="24"/>
        </w:rPr>
        <w:t>, IAB 8/19/26.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additional expected cost to the State or individuals.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Public sector employers, employees, and employee organizations and Board staff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changes are mandated by statute and executive order.</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486—Chapter 15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15</w:t>
      </w:r>
    </w:p>
    <w:p>
      <w:pPr>
        <w:spacing w:before="0" w:after="0" w:line="480"/>
        <w:ind w:left="120"/>
        <w:jc w:val="center"/>
      </w:pPr>
      <w:r>
        <w:rPr>
          <w:rFonts w:ascii="Times New Roman" w:hAnsi="Times New Roman"/>
          <w:b w:val="false"/>
          <w:i w:val="false"/>
          <w:color w:val="000000"/>
          <w:sz w:val="21"/>
        </w:rPr>
        <w:t>INTERNAL CONDUCT OF EMPLOYEE ORGANIZATIONS</w:t>
      </w:r>
    </w:p>
    <w:p>
      <w:pPr>
        <w:spacing w:before="0" w:after="0" w:line="480"/>
        <w:ind w:left="120"/>
        <w:jc w:val="both"/>
      </w:pPr>
      <w:r>
        <w:rPr>
          <w:rFonts w:ascii="Times New Roman" w:hAnsi="Times New Roman"/>
          <w:b/>
          <w:i w:val="false"/>
          <w:color w:val="000000"/>
          <w:sz w:val="24"/>
        </w:rPr>
        <w:t>486—15.1</w:t>
      </w:r>
      <w:r>
        <w:rPr>
          <w:rFonts w:ascii="Times New Roman" w:hAnsi="Times New Roman"/>
          <w:b/>
          <w:i w:val="false"/>
          <w:color w:val="000000"/>
          <w:sz w:val="24"/>
        </w:rPr>
        <w:t xml:space="preserve">(20) </w:t>
      </w:r>
      <w:r>
        <w:rPr>
          <w:rFonts w:ascii="Times New Roman" w:hAnsi="Times New Roman"/>
          <w:b/>
          <w:i w:val="false"/>
          <w:color w:val="000000"/>
          <w:sz w:val="24"/>
        </w:rPr>
        <w:t xml:space="preserve">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15.1(1)</w:t>
      </w:r>
      <w:r>
        <w:rPr>
          <w:rFonts w:ascii="Times New Roman" w:hAnsi="Times New Roman"/>
          <w:b w:val="false"/>
          <w:i w:val="false"/>
          <w:color w:val="000000"/>
          <w:sz w:val="24"/>
        </w:rPr>
        <w:t> </w:t>
      </w:r>
      <w:r>
        <w:rPr>
          <w:rFonts w:ascii="Times New Roman" w:hAnsi="Times New Roman"/>
          <w:b w:val="false"/>
          <w:i/>
          <w:color w:val="000000"/>
          <w:sz w:val="24"/>
        </w:rPr>
        <w:t xml:space="preserve">Certification requirements. </w:t>
      </w:r>
      <w:r>
        <w:rPr>
          <w:rFonts w:ascii="Times New Roman" w:hAnsi="Times New Roman"/>
          <w:b w:val="false"/>
          <w:i w:val="false"/>
          <w:color w:val="000000"/>
          <w:sz w:val="24"/>
        </w:rPr>
        <w:t>An employee organization may not be certified by the appeal board as the exclusive representative of a bargaining unit until that employee organization has uploaded in Superb, the appeal board’s database, a complete registration report, its constitution and bylaws, and an annual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15.1(2)</w:t>
      </w:r>
      <w:r>
        <w:rPr>
          <w:rFonts w:ascii="Times New Roman" w:hAnsi="Times New Roman"/>
          <w:b w:val="false"/>
          <w:i w:val="false"/>
          <w:color w:val="000000"/>
          <w:sz w:val="24"/>
        </w:rPr>
        <w:t> </w:t>
      </w:r>
      <w:r>
        <w:rPr>
          <w:rFonts w:ascii="Times New Roman" w:hAnsi="Times New Roman"/>
          <w:b w:val="false"/>
          <w:i/>
          <w:color w:val="000000"/>
          <w:sz w:val="24"/>
        </w:rPr>
        <w:t xml:space="preserve">Bylaw and constitution requirement. </w:t>
      </w:r>
      <w:r>
        <w:rPr>
          <w:rFonts w:ascii="Times New Roman" w:hAnsi="Times New Roman"/>
          <w:b w:val="false"/>
          <w:i w:val="false"/>
          <w:color w:val="000000"/>
          <w:sz w:val="24"/>
        </w:rPr>
        <w:t>Changes or amendments to a certified employee organization’s constitution or bylaws will not be recognized until that certified employee organization has uploaded in Superb both a complete registration report and its constitution and bylaws.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15.1(3)</w:t>
      </w:r>
      <w:r>
        <w:rPr>
          <w:rFonts w:ascii="Times New Roman" w:hAnsi="Times New Roman"/>
          <w:b w:val="false"/>
          <w:i w:val="false"/>
          <w:color w:val="000000"/>
          <w:sz w:val="24"/>
        </w:rPr>
        <w:t> </w:t>
      </w:r>
      <w:r>
        <w:rPr>
          <w:rFonts w:ascii="Times New Roman" w:hAnsi="Times New Roman"/>
          <w:b w:val="false"/>
          <w:i/>
          <w:color w:val="000000"/>
          <w:sz w:val="24"/>
        </w:rPr>
        <w:t xml:space="preserve">Petitions to amend certification. </w:t>
      </w:r>
      <w:r>
        <w:rPr>
          <w:rFonts w:ascii="Times New Roman" w:hAnsi="Times New Roman"/>
          <w:b w:val="false"/>
          <w:i w:val="false"/>
          <w:color w:val="000000"/>
          <w:sz w:val="24"/>
        </w:rPr>
        <w:t>A certified employee organization’s filing of a petition to amend its certification will not be accepted until that certified employee organization has uploaded in Superb a complete registration report, its constitution and bylaws, and an annual report.</w:t>
      </w:r>
    </w:p>
    <w:p>
      <w:pPr>
        <w:spacing w:before="0" w:after="0" w:line="480"/>
        <w:ind w:left="120"/>
        <w:jc w:val="both"/>
      </w:pPr>
      <w:r>
        <w:rPr>
          <w:rFonts w:ascii="Times New Roman" w:hAnsi="Times New Roman"/>
          <w:b/>
          <w:i w:val="false"/>
          <w:color w:val="000000"/>
          <w:sz w:val="24"/>
        </w:rPr>
        <w:t>486—15.2</w:t>
      </w:r>
      <w:r>
        <w:rPr>
          <w:rFonts w:ascii="Times New Roman" w:hAnsi="Times New Roman"/>
          <w:b/>
          <w:i w:val="false"/>
          <w:color w:val="000000"/>
          <w:sz w:val="24"/>
        </w:rPr>
        <w:t xml:space="preserve">(20) </w:t>
      </w:r>
      <w:r>
        <w:rPr>
          <w:rFonts w:ascii="Times New Roman" w:hAnsi="Times New Roman"/>
          <w:b/>
          <w:i w:val="false"/>
          <w:color w:val="000000"/>
          <w:sz w:val="24"/>
        </w:rPr>
        <w:t xml:space="preserve">Registration report. </w:t>
      </w:r>
      <w:r>
        <w:rPr>
          <w:rFonts w:ascii="Times New Roman" w:hAnsi="Times New Roman"/>
          <w:b w:val="false"/>
          <w:i w:val="false"/>
          <w:color w:val="000000"/>
          <w:sz w:val="24"/>
        </w:rPr>
        <w:t>An employee organization shall file a complete registration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15.2(1)</w:t>
      </w:r>
      <w:r>
        <w:rPr>
          <w:rFonts w:ascii="Times New Roman" w:hAnsi="Times New Roman"/>
          <w:b w:val="false"/>
          <w:i w:val="false"/>
          <w:color w:val="000000"/>
          <w:sz w:val="24"/>
        </w:rPr>
        <w:t> </w:t>
      </w:r>
      <w:r>
        <w:rPr>
          <w:rFonts w:ascii="Times New Roman" w:hAnsi="Times New Roman"/>
          <w:b w:val="false"/>
          <w:i w:val="false"/>
          <w:color w:val="000000"/>
          <w:sz w:val="24"/>
        </w:rPr>
        <w:t>Before the employee organization may be certified as the exclusive representative of a bargaining unit;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w:t>
      </w:r>
      <w:r>
        <w:rPr>
          <w:rFonts w:ascii="Times New Roman" w:hAnsi="Times New Roman"/>
          <w:b w:val="false"/>
          <w:i w:val="false"/>
          <w:color w:val="000000"/>
          <w:sz w:val="24"/>
        </w:rPr>
        <w:t> </w:t>
      </w:r>
      <w:r>
        <w:rPr>
          <w:rFonts w:ascii="Times New Roman" w:hAnsi="Times New Roman"/>
          <w:b w:val="false"/>
          <w:i w:val="false"/>
          <w:color w:val="000000"/>
          <w:sz w:val="24"/>
        </w:rPr>
        <w:t>Whenever changes or amendments are made to its constitution or bylaws after the employee organization has been certified;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w:t>
      </w:r>
      <w:r>
        <w:rPr>
          <w:rFonts w:ascii="Times New Roman" w:hAnsi="Times New Roman"/>
          <w:b w:val="false"/>
          <w:i w:val="false"/>
          <w:color w:val="000000"/>
          <w:sz w:val="24"/>
        </w:rPr>
        <w:t> </w:t>
      </w:r>
      <w:r>
        <w:rPr>
          <w:rFonts w:ascii="Times New Roman" w:hAnsi="Times New Roman"/>
          <w:b w:val="false"/>
          <w:i w:val="false"/>
          <w:color w:val="000000"/>
          <w:sz w:val="24"/>
        </w:rPr>
        <w:t>When the certified employee organization files a petition to amend its certification.</w:t>
      </w:r>
    </w:p>
    <w:p>
      <w:pPr>
        <w:spacing w:before="0" w:after="0" w:line="480"/>
        <w:ind w:left="120"/>
        <w:jc w:val="both"/>
      </w:pPr>
      <w:r>
        <w:rPr>
          <w:rFonts w:ascii="Times New Roman" w:hAnsi="Times New Roman"/>
          <w:b/>
          <w:i w:val="false"/>
          <w:color w:val="000000"/>
          <w:sz w:val="24"/>
        </w:rPr>
        <w:t>486—15.3</w:t>
      </w:r>
      <w:r>
        <w:rPr>
          <w:rFonts w:ascii="Times New Roman" w:hAnsi="Times New Roman"/>
          <w:b/>
          <w:i w:val="false"/>
          <w:color w:val="000000"/>
          <w:sz w:val="24"/>
        </w:rPr>
        <w:t xml:space="preserve">(20) </w:t>
      </w:r>
      <w:r>
        <w:rPr>
          <w:rFonts w:ascii="Times New Roman" w:hAnsi="Times New Roman"/>
          <w:b/>
          <w:i w:val="false"/>
          <w:color w:val="000000"/>
          <w:sz w:val="24"/>
        </w:rPr>
        <w:t xml:space="preserve">Constitution and bylaws.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15.3(1)</w:t>
      </w:r>
      <w:r>
        <w:rPr>
          <w:rFonts w:ascii="Times New Roman" w:hAnsi="Times New Roman"/>
          <w:b w:val="false"/>
          <w:i w:val="false"/>
          <w:color w:val="000000"/>
          <w:sz w:val="24"/>
        </w:rPr>
        <w:t> </w:t>
      </w:r>
      <w:r>
        <w:rPr>
          <w:rFonts w:ascii="Times New Roman" w:hAnsi="Times New Roman"/>
          <w:b w:val="false"/>
          <w:i/>
          <w:color w:val="000000"/>
          <w:sz w:val="24"/>
        </w:rPr>
        <w:t xml:space="preserve">Time of filing. </w:t>
      </w:r>
      <w:r>
        <w:rPr>
          <w:rFonts w:ascii="Times New Roman" w:hAnsi="Times New Roman"/>
          <w:b w:val="false"/>
          <w:i w:val="false"/>
          <w:color w:val="000000"/>
          <w:sz w:val="24"/>
        </w:rPr>
        <w:t>An employee organization shall file its constitution and bylaws: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Before the employee organization may be certified as the exclusive representative of a bargaining unit;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Whenever changes or amendments are made to its constitution or bylaws after the employee organization has been certified;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the certified employee organization files a petition to amend its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15.3(2)</w:t>
      </w:r>
      <w:r>
        <w:rPr>
          <w:rFonts w:ascii="Times New Roman" w:hAnsi="Times New Roman"/>
          <w:b w:val="false"/>
          <w:i w:val="false"/>
          <w:color w:val="000000"/>
          <w:sz w:val="24"/>
        </w:rPr>
        <w:t> </w:t>
      </w:r>
      <w:r>
        <w:rPr>
          <w:rFonts w:ascii="Times New Roman" w:hAnsi="Times New Roman"/>
          <w:b w:val="false"/>
          <w:i/>
          <w:color w:val="000000"/>
          <w:sz w:val="24"/>
        </w:rPr>
        <w:t xml:space="preserve">Form and content.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constitution or bylaws of every employee organization shall contain the information required by Iowa Code section </w:t>
      </w:r>
      <w:hyperlink r:id="rId6">
        <w:r>
          <w:rPr>
            <w:rStyle w:val="Hyperlink"/>
            <w:rFonts w:ascii="Times New Roman" w:hAnsi="Times New Roman"/>
            <w:b w:val="false"/>
            <w:i w:val="false"/>
            <w:color w:val="000000"/>
            <w:sz w:val="24"/>
          </w:rPr>
          <w:t>20.25</w:t>
        </w:r>
      </w:hyperlink>
      <w:r>
        <w:rPr>
          <w:rFonts w:ascii="Times New Roman" w:hAnsi="Times New Roman"/>
          <w:b w:val="false"/>
          <w:i w:val="false"/>
          <w:color w:val="000000"/>
          <w:sz w:val="24"/>
        </w:rPr>
        <w:t xml:space="preserve"> and be uploaded in Superb.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employee organization’s national or international constitution and bylaws will be accepted in lieu of the employee organization’s constitution and bylaws provided that such national or international constitution and bylaws conform to the requirements of Iowa Code section </w:t>
      </w:r>
      <w:hyperlink r:id="rId7">
        <w:r>
          <w:rPr>
            <w:rStyle w:val="Hyperlink"/>
            <w:rFonts w:ascii="Times New Roman" w:hAnsi="Times New Roman"/>
            <w:b w:val="false"/>
            <w:i w:val="false"/>
            <w:color w:val="000000"/>
            <w:sz w:val="24"/>
          </w:rPr>
          <w:t>20.25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486—15.4</w:t>
      </w:r>
      <w:r>
        <w:rPr>
          <w:rFonts w:ascii="Times New Roman" w:hAnsi="Times New Roman"/>
          <w:b/>
          <w:i w:val="false"/>
          <w:color w:val="000000"/>
          <w:sz w:val="24"/>
        </w:rPr>
        <w:t xml:space="preserve">(20) </w:t>
      </w:r>
      <w:r>
        <w:rPr>
          <w:rFonts w:ascii="Times New Roman" w:hAnsi="Times New Roman"/>
          <w:b/>
          <w:i w:val="false"/>
          <w:color w:val="000000"/>
          <w:sz w:val="24"/>
        </w:rPr>
        <w:t xml:space="preserve">Annual report.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15.4(1)</w:t>
      </w:r>
      <w:r>
        <w:rPr>
          <w:rFonts w:ascii="Times New Roman" w:hAnsi="Times New Roman"/>
          <w:b w:val="false"/>
          <w:i w:val="false"/>
          <w:color w:val="000000"/>
          <w:sz w:val="24"/>
        </w:rPr>
        <w:t> </w:t>
      </w:r>
      <w:r>
        <w:rPr>
          <w:rFonts w:ascii="Times New Roman" w:hAnsi="Times New Roman"/>
          <w:b w:val="false"/>
          <w:i/>
          <w:color w:val="000000"/>
          <w:sz w:val="24"/>
        </w:rPr>
        <w:t xml:space="preserve">Time of filing. </w:t>
      </w:r>
      <w:r>
        <w:rPr>
          <w:rFonts w:ascii="Times New Roman" w:hAnsi="Times New Roman"/>
          <w:b w:val="false"/>
          <w:i w:val="false"/>
          <w:color w:val="000000"/>
          <w:sz w:val="24"/>
        </w:rPr>
        <w:t>A certified employee organization shall file a complete annual report within 90 days following the certified employee organization’s fiscal year end.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15.4(2)</w:t>
      </w:r>
      <w:r>
        <w:rPr>
          <w:rFonts w:ascii="Times New Roman" w:hAnsi="Times New Roman"/>
          <w:b w:val="false"/>
          <w:i w:val="false"/>
          <w:color w:val="000000"/>
          <w:sz w:val="24"/>
        </w:rPr>
        <w:t> </w:t>
      </w:r>
      <w:r>
        <w:rPr>
          <w:rFonts w:ascii="Times New Roman" w:hAnsi="Times New Roman"/>
          <w:b w:val="false"/>
          <w:i/>
          <w:color w:val="000000"/>
          <w:sz w:val="24"/>
        </w:rPr>
        <w:t xml:space="preserve">Form and content. </w:t>
      </w:r>
      <w:r>
        <w:rPr>
          <w:rFonts w:ascii="Times New Roman" w:hAnsi="Times New Roman"/>
          <w:b w:val="false"/>
          <w:i w:val="false"/>
          <w:color w:val="000000"/>
          <w:sz w:val="24"/>
        </w:rPr>
        <w:t xml:space="preserve">The annual report must be on the form on the appeal board’s website. The annual report must also be uploaded in Superb and contain the information required by Iowa Code section </w:t>
      </w:r>
      <w:hyperlink r:id="rId8">
        <w:r>
          <w:rPr>
            <w:rStyle w:val="Hyperlink"/>
            <w:rFonts w:ascii="Times New Roman" w:hAnsi="Times New Roman"/>
            <w:b w:val="false"/>
            <w:i w:val="false"/>
            <w:color w:val="000000"/>
            <w:sz w:val="24"/>
          </w:rPr>
          <w:t>20.25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financial report that must accompany the annual report must contain the following information: the cash balance from the previous year; a listing of sources and amounts of income; an identified listing of disbursements; and a closing balance. For the first annual report filed by an employee organization, the financial report shall reflect the last completed fiscal year of the organization or, in the case of a new organization, the last completed quarter or quarters of the current fiscal year. For annual reports filed mid-fiscal year, the financial report must reflect the last completed quarter of the current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audit that accompanies the annual report must include a statement that the financial report has been reviewed and found to be true and accurate. The audit must be signed by an auditing committee or a person or persons who hold no office in the employee organization and who did not prepare the financial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annual reports must contain the name of any person required to be bonded by rule </w:t>
      </w:r>
      <w:hyperlink r:id="rId9">
        <w:r>
          <w:rPr>
            <w:rStyle w:val="Hyperlink"/>
            <w:rFonts w:ascii="Times New Roman" w:hAnsi="Times New Roman"/>
            <w:b w:val="false"/>
            <w:i w:val="false"/>
            <w:color w:val="000000"/>
            <w:sz w:val="24"/>
          </w:rPr>
          <w:t>486—15.5</w:t>
        </w:r>
      </w:hyperlink>
      <w:r>
        <w:rPr>
          <w:rFonts w:ascii="Times New Roman" w:hAnsi="Times New Roman"/>
          <w:b w:val="false"/>
          <w:i w:val="false"/>
          <w:color w:val="000000"/>
          <w:sz w:val="24"/>
        </w:rPr>
        <w:t>(20), the amount of that bond, and the name of the corporate surety company that issued the bond.</w:t>
      </w:r>
    </w:p>
    <w:p>
      <w:pPr>
        <w:spacing w:before="0" w:after="0" w:line="480"/>
        <w:ind w:left="120"/>
        <w:jc w:val="both"/>
      </w:pPr>
      <w:r>
        <w:rPr>
          <w:rFonts w:ascii="Times New Roman" w:hAnsi="Times New Roman"/>
          <w:b/>
          <w:i w:val="false"/>
          <w:color w:val="000000"/>
          <w:sz w:val="24"/>
        </w:rPr>
        <w:t>486—15.5</w:t>
      </w:r>
      <w:r>
        <w:rPr>
          <w:rFonts w:ascii="Times New Roman" w:hAnsi="Times New Roman"/>
          <w:b/>
          <w:i w:val="false"/>
          <w:color w:val="000000"/>
          <w:sz w:val="24"/>
        </w:rPr>
        <w:t xml:space="preserve">(20) </w:t>
      </w:r>
      <w:r>
        <w:rPr>
          <w:rFonts w:ascii="Times New Roman" w:hAnsi="Times New Roman"/>
          <w:b/>
          <w:i w:val="false"/>
          <w:color w:val="000000"/>
          <w:sz w:val="24"/>
        </w:rPr>
        <w:t xml:space="preserve">Bond required. </w:t>
      </w:r>
      <w:r>
        <w:rPr>
          <w:rFonts w:ascii="Times New Roman" w:hAnsi="Times New Roman"/>
          <w:b w:val="false"/>
          <w:i w:val="false"/>
          <w:color w:val="000000"/>
          <w:sz w:val="24"/>
        </w:rPr>
        <w:t xml:space="preserve">Every person required by Iowa Code section </w:t>
      </w:r>
      <w:hyperlink r:id="rId10">
        <w:r>
          <w:rPr>
            <w:rStyle w:val="Hyperlink"/>
            <w:rFonts w:ascii="Times New Roman" w:hAnsi="Times New Roman"/>
            <w:b w:val="false"/>
            <w:i w:val="false"/>
            <w:color w:val="000000"/>
            <w:sz w:val="24"/>
          </w:rPr>
          <w:t>20.25(3)</w:t>
        </w:r>
      </w:hyperlink>
      <w:r>
        <w:rPr>
          <w:rFonts w:ascii="Times New Roman" w:hAnsi="Times New Roman"/>
          <w:b w:val="false"/>
          <w:i/>
          <w:color w:val="000000"/>
          <w:sz w:val="24"/>
        </w:rPr>
        <w:t>“c”</w:t>
      </w:r>
      <w:r>
        <w:rPr>
          <w:rFonts w:ascii="Times New Roman" w:hAnsi="Times New Roman"/>
          <w:b w:val="false"/>
          <w:i w:val="false"/>
          <w:color w:val="000000"/>
          <w:sz w:val="24"/>
        </w:rPr>
        <w:t xml:space="preserve"> to be bonded shall be bonded to provide protection against loss by reason of act of fraud or dishonesty on the part of such person, directly or through connivance with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15.5(1)</w:t>
      </w:r>
      <w:r>
        <w:rPr>
          <w:rFonts w:ascii="Times New Roman" w:hAnsi="Times New Roman"/>
          <w:b w:val="false"/>
          <w:i w:val="false"/>
          <w:color w:val="000000"/>
          <w:sz w:val="24"/>
        </w:rPr>
        <w:t> </w:t>
      </w:r>
      <w:r>
        <w:rPr>
          <w:rFonts w:ascii="Times New Roman" w:hAnsi="Times New Roman"/>
          <w:b w:val="false"/>
          <w:i/>
          <w:color w:val="000000"/>
          <w:sz w:val="24"/>
        </w:rPr>
        <w:t xml:space="preserve">Bond requirements. </w:t>
      </w:r>
      <w:r>
        <w:rPr>
          <w:rFonts w:ascii="Times New Roman" w:hAnsi="Times New Roman"/>
          <w:b w:val="false"/>
          <w:i w:val="false"/>
          <w:color w:val="000000"/>
          <w:sz w:val="24"/>
        </w:rPr>
        <w:t>The bond of each such person shall be fixed at the beginning of the employee organization’s fiscal year and shall be in an amount of not less than 10 percent of the funds handled by such person or that person’s predecessor, if any, during the preceding fiscal year. The bond may not be less than $2,000 nor more than $500,000. If the employee organization or the trust in which an employee organization is interested does not have a preceding fiscal year, the amount of the bond may not be less than $2,000. Such bonds must have a corporate surety company as surety thereon.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15.5(2)</w:t>
      </w:r>
      <w:r>
        <w:rPr>
          <w:rFonts w:ascii="Times New Roman" w:hAnsi="Times New Roman"/>
          <w:b w:val="false"/>
          <w:i w:val="false"/>
          <w:color w:val="000000"/>
          <w:sz w:val="24"/>
        </w:rPr>
        <w:t> </w:t>
      </w:r>
      <w:r>
        <w:rPr>
          <w:rFonts w:ascii="Times New Roman" w:hAnsi="Times New Roman"/>
          <w:b w:val="false"/>
          <w:i/>
          <w:color w:val="000000"/>
          <w:sz w:val="24"/>
        </w:rPr>
        <w:t xml:space="preserve">Prohibitions. </w:t>
      </w:r>
      <w:r>
        <w:rPr>
          <w:rFonts w:ascii="Times New Roman" w:hAnsi="Times New Roman"/>
          <w:b w:val="false"/>
          <w:i w:val="false"/>
          <w:color w:val="000000"/>
          <w:sz w:val="24"/>
        </w:rPr>
        <w:t xml:space="preserve">No person will be permitted to receive, handle, disburse or otherwise exercise control of the funds or other property of an employee organization or of a trust in which an employee organization is interested unless that person is covered by a bond as set forth in subrule </w:t>
      </w:r>
      <w:hyperlink r:id="rId11">
        <w:r>
          <w:rPr>
            <w:rStyle w:val="Hyperlink"/>
            <w:rFonts w:ascii="Times New Roman" w:hAnsi="Times New Roman"/>
            <w:b w:val="false"/>
            <w:i w:val="false"/>
            <w:color w:val="000000"/>
            <w:sz w:val="24"/>
          </w:rPr>
          <w:t>15.5(1)</w:t>
        </w:r>
      </w:hyperlink>
      <w:r>
        <w:rPr>
          <w:rFonts w:ascii="Times New Roman" w:hAnsi="Times New Roman"/>
          <w:b w:val="false"/>
          <w:i w:val="false"/>
          <w:color w:val="000000"/>
          <w:sz w:val="24"/>
        </w:rPr>
        <w:t>. No such bond may be placed through an agent or broker or with a surety company in which any employee organization or any officer, agent, shop steward or other representative of an employee organization has any direct or indirect interest.</w:t>
      </w:r>
    </w:p>
    <w:p>
      <w:pPr>
        <w:spacing w:before="0" w:after="0" w:line="480"/>
        <w:ind w:left="120"/>
        <w:jc w:val="both"/>
      </w:pPr>
      <w:r>
        <w:rPr>
          <w:rFonts w:ascii="Times New Roman" w:hAnsi="Times New Roman"/>
          <w:b/>
          <w:i w:val="false"/>
          <w:color w:val="000000"/>
          <w:sz w:val="24"/>
        </w:rPr>
        <w:t>486—15.6</w:t>
      </w:r>
      <w:r>
        <w:rPr>
          <w:rFonts w:ascii="Times New Roman" w:hAnsi="Times New Roman"/>
          <w:b/>
          <w:i w:val="false"/>
          <w:color w:val="000000"/>
          <w:sz w:val="24"/>
        </w:rPr>
        <w:t xml:space="preserve">(20) </w:t>
      </w:r>
      <w:r>
        <w:rPr>
          <w:rFonts w:ascii="Times New Roman" w:hAnsi="Times New Roman"/>
          <w:b/>
          <w:i w:val="false"/>
          <w:color w:val="000000"/>
          <w:sz w:val="24"/>
        </w:rPr>
        <w:t xml:space="preserve">Trusteeships.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15.6(1)</w:t>
      </w:r>
      <w:r>
        <w:rPr>
          <w:rFonts w:ascii="Times New Roman" w:hAnsi="Times New Roman"/>
          <w:b w:val="false"/>
          <w:i w:val="false"/>
          <w:color w:val="000000"/>
          <w:sz w:val="24"/>
        </w:rPr>
        <w:t> </w:t>
      </w:r>
      <w:r>
        <w:rPr>
          <w:rFonts w:ascii="Times New Roman" w:hAnsi="Times New Roman"/>
          <w:b w:val="false"/>
          <w:i/>
          <w:color w:val="000000"/>
          <w:sz w:val="24"/>
        </w:rPr>
        <w:t xml:space="preserve">Application and establishment. </w:t>
      </w:r>
      <w:r>
        <w:rPr>
          <w:rFonts w:ascii="Times New Roman" w:hAnsi="Times New Roman"/>
          <w:b w:val="false"/>
          <w:i w:val="false"/>
          <w:color w:val="000000"/>
          <w:sz w:val="24"/>
        </w:rPr>
        <w:t>Prior to establishing a trusteeship, an organization shall file an application to establish or administer a trusteeship over a subordinate employee organization certified by the appeal board. The organization shall attach a copy of its constitution and bylaws to its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appeal board will review the organization’s constitution and bylaws and permit the establishment of a trusteeship if the trusteeship procedures are reasonable.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Trusteeships may be established or administered by an organization over a subordinate employee organization only in accordance with the constitution or bylaws of the organization that has assumed trusteeship over the subordinate body and for the purpose of correcting corruption or financial malpractice, assuring the performance of collective bargaining agreements or other duties of a bargaining representative, restoring democratic procedures or otherwise carrying out the legitimate objectives of the employee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15.6(2)</w:t>
      </w:r>
      <w:r>
        <w:rPr>
          <w:rFonts w:ascii="Times New Roman" w:hAnsi="Times New Roman"/>
          <w:b w:val="false"/>
          <w:i w:val="false"/>
          <w:color w:val="000000"/>
          <w:sz w:val="24"/>
        </w:rPr>
        <w:t> </w:t>
      </w:r>
      <w:r>
        <w:rPr>
          <w:rFonts w:ascii="Times New Roman" w:hAnsi="Times New Roman"/>
          <w:b w:val="false"/>
          <w:i/>
          <w:color w:val="000000"/>
          <w:sz w:val="24"/>
        </w:rPr>
        <w:t xml:space="preserve">Reports.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Every organization that assumes trusteeship over any subordinate employee organization shall file with the appeal board within 30 days after the imposition of any such trusteeship, and semiannually thereafter, a report, signed by its president and treasurer or corresponding principal officers, as well as by the designated trustees of such subordinate employee organization. The report must contain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subordinate employee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date of the establishment of the trusteeship;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detailed statement of the reason for the establishment or the continuation of the trusteeship;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nature and extent of participation by the membership of the subordinate employee organization in the selection of delegates to represent such employee organization in regular or special conventions or other policy-determining bodies and in the election of officers of the organization that has assumed trusteeship over the employee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initial report of the establishment of the trusteeship must include a full and complete account of the financial condition of the subordinate employee organization as of the time trusteeship was assumed over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15.6(3)</w:t>
      </w:r>
      <w:r>
        <w:rPr>
          <w:rFonts w:ascii="Times New Roman" w:hAnsi="Times New Roman"/>
          <w:b w:val="false"/>
          <w:i w:val="false"/>
          <w:color w:val="000000"/>
          <w:sz w:val="24"/>
        </w:rPr>
        <w:t> </w:t>
      </w:r>
      <w:r>
        <w:rPr>
          <w:rFonts w:ascii="Times New Roman" w:hAnsi="Times New Roman"/>
          <w:b w:val="false"/>
          <w:i/>
          <w:color w:val="000000"/>
          <w:sz w:val="24"/>
        </w:rPr>
        <w:t xml:space="preserve">Continuing duty to report. </w:t>
      </w:r>
      <w:r>
        <w:rPr>
          <w:rFonts w:ascii="Times New Roman" w:hAnsi="Times New Roman"/>
          <w:b w:val="false"/>
          <w:i w:val="false"/>
          <w:color w:val="000000"/>
          <w:sz w:val="24"/>
        </w:rPr>
        <w:t>During the continuance of a trusteeship, the organization that has assumed trusteeship over a subordinate employee organization shall file on behalf of the subordinate employee organization all reports required by this chapter. Such reports must be signed by the president and treasurer or corresponding principal officers of the organization that has assumed such trusteeship and the designated trustees for the subordinate employee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15.6(4)</w:t>
      </w:r>
      <w:r>
        <w:rPr>
          <w:rFonts w:ascii="Times New Roman" w:hAnsi="Times New Roman"/>
          <w:b w:val="false"/>
          <w:i w:val="false"/>
          <w:color w:val="000000"/>
          <w:sz w:val="24"/>
        </w:rPr>
        <w:t> </w:t>
      </w:r>
      <w:r>
        <w:rPr>
          <w:rFonts w:ascii="Times New Roman" w:hAnsi="Times New Roman"/>
          <w:b w:val="false"/>
          <w:i/>
          <w:color w:val="000000"/>
          <w:sz w:val="24"/>
        </w:rPr>
        <w:t xml:space="preserve">Method of filing. </w:t>
      </w:r>
      <w:r>
        <w:rPr>
          <w:rFonts w:ascii="Times New Roman" w:hAnsi="Times New Roman"/>
          <w:b w:val="false"/>
          <w:i w:val="false"/>
          <w:color w:val="000000"/>
          <w:sz w:val="24"/>
        </w:rPr>
        <w:t xml:space="preserve">The application and any required reports must be electronically filed in the electronic document management system (EDMS) pursuant to </w:t>
      </w:r>
      <w:hyperlink r:id="rId12">
        <w:r>
          <w:rPr>
            <w:rStyle w:val="Hyperlink"/>
            <w:rFonts w:ascii="Times New Roman" w:hAnsi="Times New Roman"/>
            <w:b w:val="false"/>
            <w:i w:val="false"/>
            <w:color w:val="000000"/>
            <w:sz w:val="24"/>
          </w:rPr>
          <w:t>486—Chapter 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486—15.7</w:t>
      </w:r>
      <w:r>
        <w:rPr>
          <w:rFonts w:ascii="Times New Roman" w:hAnsi="Times New Roman"/>
          <w:b/>
          <w:i w:val="false"/>
          <w:color w:val="000000"/>
          <w:sz w:val="24"/>
        </w:rPr>
        <w:t xml:space="preserve">(20) </w:t>
      </w:r>
      <w:r>
        <w:rPr>
          <w:rFonts w:ascii="Times New Roman" w:hAnsi="Times New Roman"/>
          <w:b/>
          <w:i w:val="false"/>
          <w:color w:val="000000"/>
          <w:sz w:val="24"/>
        </w:rPr>
        <w:t xml:space="preserve">Failure to comply with employee organization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15.7(1)</w:t>
      </w:r>
      <w:r>
        <w:rPr>
          <w:rFonts w:ascii="Times New Roman" w:hAnsi="Times New Roman"/>
          <w:b w:val="false"/>
          <w:i w:val="false"/>
          <w:color w:val="000000"/>
          <w:sz w:val="24"/>
        </w:rPr>
        <w:t> </w:t>
      </w:r>
      <w:r>
        <w:rPr>
          <w:rFonts w:ascii="Times New Roman" w:hAnsi="Times New Roman"/>
          <w:b w:val="false"/>
          <w:i/>
          <w:color w:val="000000"/>
          <w:sz w:val="24"/>
        </w:rPr>
        <w:t xml:space="preserve">Upon completion of a valid certification election. </w:t>
      </w:r>
      <w:r>
        <w:rPr>
          <w:rFonts w:ascii="Times New Roman" w:hAnsi="Times New Roman"/>
          <w:b w:val="false"/>
          <w:i w:val="false"/>
          <w:color w:val="000000"/>
          <w:sz w:val="24"/>
        </w:rPr>
        <w:t xml:space="preserve">If an employee organization fails within 90 days following the completion of a valid certification election to file a registration report, its constitution and bylaws, or an annual report or fails to otherwise comply with Iowa Code section </w:t>
      </w:r>
      <w:hyperlink r:id="rId13">
        <w:r>
          <w:rPr>
            <w:rStyle w:val="Hyperlink"/>
            <w:rFonts w:ascii="Times New Roman" w:hAnsi="Times New Roman"/>
            <w:b w:val="false"/>
            <w:i w:val="false"/>
            <w:color w:val="000000"/>
            <w:sz w:val="24"/>
          </w:rPr>
          <w:t>20.25</w:t>
        </w:r>
      </w:hyperlink>
      <w:r>
        <w:rPr>
          <w:rFonts w:ascii="Times New Roman" w:hAnsi="Times New Roman"/>
          <w:b w:val="false"/>
          <w:i w:val="false"/>
          <w:color w:val="000000"/>
          <w:sz w:val="24"/>
        </w:rPr>
        <w:t>, the appeal board will not certify the employee organization and will serve notice of noncertification. The appeal board may grant extensions of time for good cause.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15.7(2)</w:t>
      </w:r>
      <w:r>
        <w:rPr>
          <w:rFonts w:ascii="Times New Roman" w:hAnsi="Times New Roman"/>
          <w:b w:val="false"/>
          <w:i w:val="false"/>
          <w:color w:val="000000"/>
          <w:sz w:val="24"/>
        </w:rPr>
        <w:t> </w:t>
      </w:r>
      <w:r>
        <w:rPr>
          <w:rFonts w:ascii="Times New Roman" w:hAnsi="Times New Roman"/>
          <w:b w:val="false"/>
          <w:i/>
          <w:color w:val="000000"/>
          <w:sz w:val="24"/>
        </w:rPr>
        <w:t xml:space="preserve">Failure to file reports once certified. </w:t>
      </w:r>
      <w:r>
        <w:rPr>
          <w:rFonts w:ascii="Times New Roman" w:hAnsi="Times New Roman"/>
          <w:b w:val="false"/>
          <w:i w:val="false"/>
          <w:color w:val="000000"/>
          <w:sz w:val="24"/>
        </w:rPr>
        <w:t xml:space="preserve">If an employee organization fails to file a registration report, its constitution and bylaws, or an annual report or fails to otherwise comply with Iowa Code section </w:t>
      </w:r>
      <w:hyperlink r:id="rId14">
        <w:r>
          <w:rPr>
            <w:rStyle w:val="Hyperlink"/>
            <w:rFonts w:ascii="Times New Roman" w:hAnsi="Times New Roman"/>
            <w:b w:val="false"/>
            <w:i w:val="false"/>
            <w:color w:val="000000"/>
            <w:sz w:val="24"/>
          </w:rPr>
          <w:t>20.25</w:t>
        </w:r>
      </w:hyperlink>
      <w:r>
        <w:rPr>
          <w:rFonts w:ascii="Times New Roman" w:hAnsi="Times New Roman"/>
          <w:b w:val="false"/>
          <w:i w:val="false"/>
          <w:color w:val="000000"/>
          <w:sz w:val="24"/>
        </w:rPr>
        <w:t>, the agency appeal board may revoke the certification of the employee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w:t>
      </w:r>
      <w:r>
        <w:rPr>
          <w:rFonts w:ascii="Times New Roman" w:hAnsi="Times New Roman"/>
          <w:b w:val="false"/>
          <w:i w:val="false"/>
          <w:color w:val="000000"/>
          <w:sz w:val="24"/>
        </w:rPr>
        <w:t> </w:t>
      </w:r>
      <w:r>
        <w:rPr>
          <w:rFonts w:ascii="Times New Roman" w:hAnsi="Times New Roman"/>
          <w:b w:val="false"/>
          <w:i/>
          <w:color w:val="000000"/>
          <w:sz w:val="24"/>
        </w:rPr>
        <w:t xml:space="preserve">Complaints by affected parties.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 affected person may file with the appeal board a complaint that an employee organization has violated Iowa Code section </w:t>
      </w:r>
      <w:hyperlink r:id="rId15">
        <w:r>
          <w:rPr>
            <w:rStyle w:val="Hyperlink"/>
            <w:rFonts w:ascii="Times New Roman" w:hAnsi="Times New Roman"/>
            <w:b w:val="false"/>
            <w:i w:val="false"/>
            <w:color w:val="000000"/>
            <w:sz w:val="24"/>
          </w:rPr>
          <w:t>20.25</w:t>
        </w:r>
      </w:hyperlink>
      <w:r>
        <w:rPr>
          <w:rFonts w:ascii="Times New Roman" w:hAnsi="Times New Roman"/>
          <w:b w:val="false"/>
          <w:i w:val="false"/>
          <w:color w:val="000000"/>
          <w:sz w:val="24"/>
        </w:rPr>
        <w:t xml:space="preserve">. The complaint and all subsequent documents in the case must be filed in the appeal board’s EDMS pursuant to </w:t>
      </w:r>
      <w:hyperlink r:id="rId16">
        <w:r>
          <w:rPr>
            <w:rStyle w:val="Hyperlink"/>
            <w:rFonts w:ascii="Times New Roman" w:hAnsi="Times New Roman"/>
            <w:b w:val="false"/>
            <w:i w:val="false"/>
            <w:color w:val="000000"/>
            <w:sz w:val="24"/>
          </w:rPr>
          <w:t>486—Chapter 18</w:t>
        </w:r>
      </w:hyperlink>
      <w:r>
        <w:rPr>
          <w:rFonts w:ascii="Times New Roman" w:hAnsi="Times New Roman"/>
          <w:b w:val="false"/>
          <w:i w:val="false"/>
          <w:color w:val="000000"/>
          <w:sz w:val="24"/>
        </w:rPr>
        <w:t>. The matter will be assigned a case number and all subsequent documents in that proceeding before the appeal board must be filed under the same case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Upon receipt of a complaint, the appeal board will serve copies of the complaint upon the employee organization by electronic means when possible and, where service by electronic means is not possible, by personal service as provided in the Iowa Rules of Civil Procedure; by certified mail, return receipt requested; by first-class mail; or by publication as provided in the Iowa Rules of Civil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appeal board shall conduct a preliminary investigation of the alleged violation. In conducting the investigation, the appeal board may require the production of evidence, including affidavits and documents. If the investigation shows there is no reasonable cause to believe a violation has occurred, the complaint will be dismissed and the parties notified.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investigation shows reasonable cause to believe a violation has occurred, the appeal board may transmit the matter to the administrative hearings division created by Iowa Code section </w:t>
      </w:r>
      <w:hyperlink r:id="rId17">
        <w:r>
          <w:rPr>
            <w:rStyle w:val="Hyperlink"/>
            <w:rFonts w:ascii="Times New Roman" w:hAnsi="Times New Roman"/>
            <w:b w:val="false"/>
            <w:i w:val="false"/>
            <w:color w:val="000000"/>
            <w:sz w:val="24"/>
          </w:rPr>
          <w:t>10A.801</w:t>
        </w:r>
      </w:hyperlink>
      <w:r>
        <w:rPr>
          <w:rFonts w:ascii="Times New Roman" w:hAnsi="Times New Roman"/>
          <w:b w:val="false"/>
          <w:i w:val="false"/>
          <w:color w:val="000000"/>
          <w:sz w:val="24"/>
        </w:rPr>
        <w:t>. The board will file a transmittal form with a copy of the complaint and answer attached. After the matter is transmitted, future filings must be made in the administrative hearings division’s administrative electronic document management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After the case is transmitted to the administrative hearings division, it will be assigned a case number. The administrative hearings division will assign the proceeding to an administrative law judge to serve as a presiding officer. The administrative law judge will issue a notice for a prehearing conference or a notice of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contested case proceeding will be conducted pursuant to </w:t>
      </w:r>
      <w:hyperlink r:id="rId18">
        <w:r>
          <w:rPr>
            <w:rStyle w:val="Hyperlink"/>
            <w:rFonts w:ascii="Times New Roman" w:hAnsi="Times New Roman"/>
            <w:b w:val="false"/>
            <w:i w:val="false"/>
            <w:color w:val="000000"/>
            <w:sz w:val="24"/>
          </w:rPr>
          <w:t>481—Chapter 10</w:t>
        </w:r>
      </w:hyperlink>
      <w:r>
        <w:rPr>
          <w:rFonts w:ascii="Times New Roman" w:hAnsi="Times New Roman"/>
          <w:b w:val="false"/>
          <w:i w:val="false"/>
          <w:color w:val="000000"/>
          <w:sz w:val="24"/>
        </w:rPr>
        <w:t xml:space="preserve"> and any other administrative rule applicable to the specific type of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proposed decision of the presiding officer may be reviewed by the appeal board in accordance with rules </w:t>
      </w:r>
      <w:hyperlink r:id="rId19">
        <w:r>
          <w:rPr>
            <w:rStyle w:val="Hyperlink"/>
            <w:rFonts w:ascii="Times New Roman" w:hAnsi="Times New Roman"/>
            <w:b w:val="false"/>
            <w:i w:val="false"/>
            <w:color w:val="000000"/>
            <w:sz w:val="24"/>
          </w:rPr>
          <w:t>7—2506.27</w:t>
        </w:r>
      </w:hyperlink>
      <w:r>
        <w:rPr>
          <w:rFonts w:ascii="Times New Roman" w:hAnsi="Times New Roman"/>
          <w:b w:val="false"/>
          <w:i w:val="false"/>
          <w:color w:val="000000"/>
          <w:sz w:val="24"/>
        </w:rPr>
        <w:t xml:space="preserve">(17A) and </w:t>
      </w:r>
      <w:hyperlink r:id="rId20">
        <w:r>
          <w:rPr>
            <w:rStyle w:val="Hyperlink"/>
            <w:rFonts w:ascii="Times New Roman" w:hAnsi="Times New Roman"/>
            <w:b w:val="false"/>
            <w:i w:val="false"/>
            <w:color w:val="000000"/>
            <w:sz w:val="24"/>
          </w:rPr>
          <w:t>7—2506.28</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1">
        <w:r>
          <w:rPr>
            <w:rStyle w:val="Hyperlink"/>
            <w:rFonts w:ascii="Times New Roman" w:hAnsi="Times New Roman"/>
            <w:b w:val="false"/>
            <w:i w:val="false"/>
            <w:color w:val="000000"/>
            <w:sz w:val="24"/>
          </w:rPr>
          <w:t>20</w:t>
        </w:r>
      </w:hyperlink>
      <w:r>
        <w:rPr>
          <w:rFonts w:ascii="Times New Roman" w:hAnsi="Times New Roman"/>
          <w:b w:val="false"/>
          <w:i w:val="false"/>
          <w:color w:val="000000"/>
          <w:sz w:val="24"/>
        </w:rPr>
        <w:t>.</w:t>
      </w:r>
    </w:p>
    <w:sectPr>
      <w:footerReference r:id="rId2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hxy-euaj-uzq" Type="http://schemas.openxmlformats.org/officeDocument/2006/relationships/hyperlink" Id="rId4"/>
    <Relationship TargetMode="External" Target="mailto:eab.elections@eab.iowa.gov" Type="http://schemas.openxmlformats.org/officeDocument/2006/relationships/hyperlink" Id="rId5"/>
    <Relationship TargetMode="External" Target="https://www.legis.iowa.gov/docs/ico/chapter/20.25.pdf" Type="http://schemas.openxmlformats.org/officeDocument/2006/relationships/hyperlink" Id="rId6"/>
    <Relationship TargetMode="External" Target="https://www.legis.iowa.gov/docs/ico/chapter/20.25.pdf" Type="http://schemas.openxmlformats.org/officeDocument/2006/relationships/hyperlink" Id="rId7"/>
    <Relationship TargetMode="External" Target="https://www.legis.iowa.gov/docs/ico/chapter/20.25.pdf" Type="http://schemas.openxmlformats.org/officeDocument/2006/relationships/hyperlink" Id="rId8"/>
    <Relationship TargetMode="External" Target="https://www.legis.iowa.gov/docs/iac/rule/486.15.5.pdf" Type="http://schemas.openxmlformats.org/officeDocument/2006/relationships/hyperlink" Id="rId9"/>
    <Relationship TargetMode="External" Target="https://www.legis.iowa.gov/docs/ico/chapter/20.25.pdf" Type="http://schemas.openxmlformats.org/officeDocument/2006/relationships/hyperlink" Id="rId10"/>
    <Relationship TargetMode="External" Target="https://www.legis.iowa.gov/docs/iac/rule/486.15.5.pdf" Type="http://schemas.openxmlformats.org/officeDocument/2006/relationships/hyperlink" Id="rId11"/>
    <Relationship TargetMode="External" Target="https://www.legis.iowa.gov/docs/iac/chapter/486.18.pdf" Type="http://schemas.openxmlformats.org/officeDocument/2006/relationships/hyperlink" Id="rId12"/>
    <Relationship TargetMode="External" Target="https://www.legis.iowa.gov/docs/ico/chapter/20.25.pdf" Type="http://schemas.openxmlformats.org/officeDocument/2006/relationships/hyperlink" Id="rId13"/>
    <Relationship TargetMode="External" Target="https://www.legis.iowa.gov/docs/ico/chapter/20.25.pdf" Type="http://schemas.openxmlformats.org/officeDocument/2006/relationships/hyperlink" Id="rId14"/>
    <Relationship TargetMode="External" Target="https://www.legis.iowa.gov/docs/ico/chapter/20.25.pdf" Type="http://schemas.openxmlformats.org/officeDocument/2006/relationships/hyperlink" Id="rId15"/>
    <Relationship TargetMode="External" Target="https://www.legis.iowa.gov/docs/iac/chapter/486.18.pdf" Type="http://schemas.openxmlformats.org/officeDocument/2006/relationships/hyperlink" Id="rId16"/>
    <Relationship TargetMode="External" Target="https://www.legis.iowa.gov/docs/ico/chapter/10A.801.pdf" Type="http://schemas.openxmlformats.org/officeDocument/2006/relationships/hyperlink" Id="rId17"/>
    <Relationship TargetMode="External" Target="https://www.legis.iowa.gov/docs/iac/chapter/481.10.pdf" Type="http://schemas.openxmlformats.org/officeDocument/2006/relationships/hyperlink" Id="rId18"/>
    <Relationship TargetMode="External" Target="https://www.legis.iowa.gov/docs/iac/rule/7.2506.27.pdf" Type="http://schemas.openxmlformats.org/officeDocument/2006/relationships/hyperlink" Id="rId19"/>
    <Relationship TargetMode="External" Target="https://www.legis.iowa.gov/docs/iac/rule/7.2506.28.pdf" Type="http://schemas.openxmlformats.org/officeDocument/2006/relationships/hyperlink" Id="rId20"/>
    <Relationship TargetMode="External" Target="https://www.legis.iowa.gov/docs/ico/chapter/20.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